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864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297"/>
      </w:tblGrid>
      <w:tr w:rsidR="00AF1055" w:rsidRPr="001747DF" w:rsidTr="00FA1419">
        <w:tc>
          <w:tcPr>
            <w:tcW w:w="1350" w:type="dxa"/>
          </w:tcPr>
          <w:p w:rsidR="00AF1055" w:rsidRPr="001747DF" w:rsidRDefault="00AF1055" w:rsidP="00FA1419">
            <w:pPr>
              <w:pStyle w:val="covertext"/>
            </w:pPr>
            <w:r w:rsidRPr="001747DF">
              <w:t>Project</w:t>
            </w:r>
          </w:p>
        </w:tc>
        <w:tc>
          <w:tcPr>
            <w:tcW w:w="7297" w:type="dxa"/>
          </w:tcPr>
          <w:p w:rsidR="00AF1055" w:rsidRPr="001747DF" w:rsidRDefault="00AF1055" w:rsidP="00FA1419">
            <w:pPr>
              <w:pStyle w:val="covertext"/>
              <w:rPr>
                <w:b/>
              </w:rPr>
            </w:pPr>
            <w:r w:rsidRPr="00F56EC3">
              <w:rPr>
                <w:b/>
              </w:rPr>
              <w:t>HMD based 3D Content Motion Sickness Reducing Technology</w:t>
            </w:r>
          </w:p>
          <w:p w:rsidR="00AF1055" w:rsidRPr="001747DF" w:rsidRDefault="00AF1055" w:rsidP="00FA1419">
            <w:pPr>
              <w:pStyle w:val="covertext"/>
              <w:rPr>
                <w:b/>
              </w:rPr>
            </w:pPr>
            <w:r>
              <w:t>&lt;</w:t>
            </w:r>
            <w:hyperlink r:id="rId7" w:history="1">
              <w:r w:rsidRPr="00295FA3">
                <w:rPr>
                  <w:rStyle w:val="a3"/>
                </w:rPr>
                <w:t>http://sites.ieee.org/sagroups-3333-3/</w:t>
              </w:r>
            </w:hyperlink>
            <w:r>
              <w:rPr>
                <w:b/>
              </w:rPr>
              <w:t xml:space="preserve"> &gt;</w:t>
            </w:r>
          </w:p>
        </w:tc>
      </w:tr>
      <w:tr w:rsidR="00AF1055" w:rsidRPr="00AE52C4" w:rsidTr="00FA1419">
        <w:tc>
          <w:tcPr>
            <w:tcW w:w="1350" w:type="dxa"/>
          </w:tcPr>
          <w:p w:rsidR="00AF1055" w:rsidRPr="001747DF" w:rsidRDefault="00AF1055" w:rsidP="00FA1419">
            <w:pPr>
              <w:pStyle w:val="covertext"/>
            </w:pPr>
            <w:r w:rsidRPr="001747DF">
              <w:t>Title</w:t>
            </w:r>
          </w:p>
        </w:tc>
        <w:tc>
          <w:tcPr>
            <w:tcW w:w="7297" w:type="dxa"/>
          </w:tcPr>
          <w:p w:rsidR="00AF1055" w:rsidRPr="00F554DB" w:rsidRDefault="00F554DB" w:rsidP="00FA1419">
            <w:pPr>
              <w:pStyle w:val="covertext"/>
              <w:rPr>
                <w:b/>
              </w:rPr>
            </w:pPr>
            <w:r>
              <w:rPr>
                <w:rFonts w:hint="eastAsia"/>
                <w:b/>
                <w:lang w:val="en-GB"/>
              </w:rPr>
              <w:t>Display Specifications of VR HMDs</w:t>
            </w:r>
          </w:p>
        </w:tc>
      </w:tr>
      <w:tr w:rsidR="00AF1055" w:rsidRPr="001747DF" w:rsidTr="00FA1419">
        <w:tc>
          <w:tcPr>
            <w:tcW w:w="1350" w:type="dxa"/>
          </w:tcPr>
          <w:p w:rsidR="00AF1055" w:rsidRPr="001747DF" w:rsidRDefault="00AF1055" w:rsidP="00FA1419">
            <w:pPr>
              <w:pStyle w:val="covertext"/>
            </w:pPr>
            <w:r w:rsidRPr="001747DF">
              <w:t>DCN</w:t>
            </w:r>
          </w:p>
        </w:tc>
        <w:tc>
          <w:tcPr>
            <w:tcW w:w="7297" w:type="dxa"/>
          </w:tcPr>
          <w:p w:rsidR="00AF1055" w:rsidRPr="001747DF" w:rsidRDefault="00AF1055" w:rsidP="00FA1419">
            <w:pPr>
              <w:pStyle w:val="covertext"/>
              <w:rPr>
                <w:b/>
              </w:rPr>
            </w:pPr>
            <w:r>
              <w:rPr>
                <w:b/>
              </w:rPr>
              <w:t>3</w:t>
            </w:r>
            <w:r w:rsidRPr="001747DF">
              <w:rPr>
                <w:b/>
              </w:rPr>
              <w:t>-1</w:t>
            </w:r>
            <w:r>
              <w:rPr>
                <w:b/>
              </w:rPr>
              <w:t>7</w:t>
            </w:r>
            <w:r w:rsidRPr="001747DF">
              <w:rPr>
                <w:b/>
              </w:rPr>
              <w:t>-</w:t>
            </w:r>
            <w:r>
              <w:rPr>
                <w:b/>
              </w:rPr>
              <w:t>00</w:t>
            </w:r>
            <w:r w:rsidR="00B54A5F">
              <w:rPr>
                <w:b/>
              </w:rPr>
              <w:t>50</w:t>
            </w:r>
            <w:r>
              <w:rPr>
                <w:rFonts w:hint="eastAsia"/>
                <w:b/>
              </w:rPr>
              <w:t>-</w:t>
            </w:r>
            <w:r>
              <w:rPr>
                <w:b/>
              </w:rPr>
              <w:t>00-000</w:t>
            </w:r>
            <w:r w:rsidR="00B54A5F">
              <w:rPr>
                <w:b/>
              </w:rPr>
              <w:t>4</w:t>
            </w:r>
          </w:p>
        </w:tc>
      </w:tr>
      <w:tr w:rsidR="00AF1055" w:rsidRPr="001747DF" w:rsidTr="00FA1419">
        <w:tc>
          <w:tcPr>
            <w:tcW w:w="1350" w:type="dxa"/>
          </w:tcPr>
          <w:p w:rsidR="00AF1055" w:rsidRPr="001747DF" w:rsidRDefault="00AF1055" w:rsidP="00FA1419">
            <w:pPr>
              <w:pStyle w:val="covertext"/>
            </w:pPr>
            <w:r w:rsidRPr="001747DF">
              <w:t>Date Submitted</w:t>
            </w:r>
          </w:p>
        </w:tc>
        <w:tc>
          <w:tcPr>
            <w:tcW w:w="7297" w:type="dxa"/>
            <w:vAlign w:val="center"/>
          </w:tcPr>
          <w:p w:rsidR="00AF1055" w:rsidRPr="001747DF" w:rsidRDefault="00AF1055" w:rsidP="007034C7">
            <w:pPr>
              <w:pStyle w:val="covertext"/>
              <w:jc w:val="both"/>
              <w:rPr>
                <w:b/>
              </w:rPr>
            </w:pPr>
            <w:r>
              <w:rPr>
                <w:b/>
              </w:rPr>
              <w:t xml:space="preserve">July </w:t>
            </w:r>
            <w:r w:rsidR="007034C7">
              <w:rPr>
                <w:rFonts w:hint="eastAsia"/>
                <w:b/>
              </w:rPr>
              <w:t>20</w:t>
            </w:r>
            <w:r>
              <w:rPr>
                <w:b/>
              </w:rPr>
              <w:t>, 2017</w:t>
            </w:r>
          </w:p>
        </w:tc>
      </w:tr>
      <w:tr w:rsidR="00AF1055" w:rsidRPr="008A5FFD" w:rsidTr="00FA1419">
        <w:tc>
          <w:tcPr>
            <w:tcW w:w="1350" w:type="dxa"/>
          </w:tcPr>
          <w:p w:rsidR="00AF1055" w:rsidRPr="001747DF" w:rsidRDefault="00AF1055" w:rsidP="00FA1419">
            <w:pPr>
              <w:pStyle w:val="covertext"/>
            </w:pPr>
            <w:r w:rsidRPr="001747DF">
              <w:t>Source(s)</w:t>
            </w:r>
          </w:p>
        </w:tc>
        <w:tc>
          <w:tcPr>
            <w:tcW w:w="7297" w:type="dxa"/>
          </w:tcPr>
          <w:p w:rsidR="00AF1055" w:rsidRDefault="00AF1055" w:rsidP="00FA1419">
            <w:pPr>
              <w:pStyle w:val="covertext"/>
            </w:pPr>
            <w:r>
              <w:rPr>
                <w:rFonts w:hint="eastAsia"/>
              </w:rPr>
              <w:t xml:space="preserve">Dongil Dillon Seo </w:t>
            </w:r>
            <w:hyperlink r:id="rId8" w:history="1">
              <w:r w:rsidRPr="008A64BE">
                <w:rPr>
                  <w:rStyle w:val="a3"/>
                  <w:rFonts w:hint="eastAsia"/>
                </w:rPr>
                <w:t>dillon@volercreative.com</w:t>
              </w:r>
            </w:hyperlink>
            <w:r>
              <w:rPr>
                <w:rFonts w:hint="eastAsia"/>
              </w:rPr>
              <w:t xml:space="preserve"> </w:t>
            </w:r>
            <w:r>
              <w:t>(VoleRCreative)</w:t>
            </w:r>
          </w:p>
          <w:p w:rsidR="00E2008C" w:rsidRDefault="00E2008C" w:rsidP="00FA1419">
            <w:pPr>
              <w:pStyle w:val="covertext"/>
            </w:pPr>
            <w:r>
              <w:rPr>
                <w:rFonts w:hint="eastAsia"/>
              </w:rPr>
              <w:t>Suk</w:t>
            </w:r>
            <w:r w:rsidR="00670997">
              <w:t>-</w:t>
            </w:r>
            <w:r>
              <w:rPr>
                <w:rFonts w:hint="eastAsia"/>
              </w:rPr>
              <w:t xml:space="preserve">Ju Kang </w:t>
            </w:r>
            <w:hyperlink r:id="rId9" w:history="1">
              <w:r w:rsidRPr="000341F8">
                <w:rPr>
                  <w:rStyle w:val="a3"/>
                  <w:rFonts w:hint="eastAsia"/>
                </w:rPr>
                <w:t>sjkang@sogang.ac.kr</w:t>
              </w:r>
            </w:hyperlink>
            <w:r>
              <w:rPr>
                <w:rFonts w:hint="eastAsia"/>
              </w:rPr>
              <w:t xml:space="preserve"> (Sogang University)</w:t>
            </w:r>
          </w:p>
          <w:p w:rsidR="003A6EA4" w:rsidRPr="003A6EA4" w:rsidRDefault="003A6EA4" w:rsidP="003A6EA4">
            <w:pPr>
              <w:pStyle w:val="covertext"/>
            </w:pPr>
            <w:r>
              <w:rPr>
                <w:rFonts w:eastAsia="MS Mincho"/>
                <w:lang w:eastAsia="ja-JP"/>
              </w:rPr>
              <w:t xml:space="preserve">Sangkwon Peter Jeong </w:t>
            </w:r>
            <w:hyperlink r:id="rId10" w:history="1">
              <w:r w:rsidRPr="002D7750">
                <w:rPr>
                  <w:rStyle w:val="a3"/>
                  <w:rFonts w:eastAsia="맑은 고딕"/>
                </w:rPr>
                <w:t>ceo@joyfun.kr</w:t>
              </w:r>
            </w:hyperlink>
            <w:r>
              <w:rPr>
                <w:rFonts w:eastAsia="MS Mincho"/>
                <w:lang w:eastAsia="ja-JP"/>
              </w:rPr>
              <w:t xml:space="preserve"> (JoyFun Inc.)</w:t>
            </w:r>
          </w:p>
        </w:tc>
      </w:tr>
      <w:tr w:rsidR="00AF1055" w:rsidRPr="00F473D8" w:rsidTr="00FA1419">
        <w:tc>
          <w:tcPr>
            <w:tcW w:w="1350" w:type="dxa"/>
          </w:tcPr>
          <w:p w:rsidR="00AF1055" w:rsidRPr="001747DF" w:rsidRDefault="00AF1055" w:rsidP="00FA1419">
            <w:pPr>
              <w:pStyle w:val="covertext"/>
            </w:pPr>
            <w:r w:rsidRPr="001747DF">
              <w:t>Re:</w:t>
            </w:r>
          </w:p>
        </w:tc>
        <w:tc>
          <w:tcPr>
            <w:tcW w:w="7297" w:type="dxa"/>
          </w:tcPr>
          <w:p w:rsidR="00AF1055" w:rsidRPr="00F473D8" w:rsidRDefault="00AF1055" w:rsidP="00AF1055">
            <w:pPr>
              <w:pStyle w:val="covertext"/>
              <w:rPr>
                <w:rFonts w:eastAsia="MS Mincho"/>
                <w:lang w:val="en-GB" w:eastAsia="ja-JP"/>
              </w:rPr>
            </w:pPr>
            <w:r>
              <w:rPr>
                <w:rFonts w:eastAsia="MS Mincho" w:hint="eastAsia"/>
                <w:lang w:val="en-GB" w:eastAsia="ja-JP"/>
              </w:rPr>
              <w:t xml:space="preserve">Session </w:t>
            </w:r>
            <w:r>
              <w:rPr>
                <w:rFonts w:hint="eastAsia"/>
                <w:lang w:val="en-GB"/>
              </w:rPr>
              <w:t>PM1</w:t>
            </w:r>
            <w:r>
              <w:rPr>
                <w:rFonts w:eastAsia="MS Mincho"/>
                <w:lang w:val="en-GB" w:eastAsia="ja-JP"/>
              </w:rPr>
              <w:t xml:space="preserve">, </w:t>
            </w:r>
            <w:r>
              <w:rPr>
                <w:rFonts w:ascii="맑은 고딕" w:eastAsia="맑은 고딕" w:hAnsi="맑은 고딕" w:cs="맑은 고딕" w:hint="eastAsia"/>
                <w:lang w:val="en-GB"/>
              </w:rPr>
              <w:t>NY</w:t>
            </w:r>
            <w:r>
              <w:rPr>
                <w:rFonts w:eastAsia="MS Mincho"/>
                <w:lang w:val="en-GB" w:eastAsia="ja-JP"/>
              </w:rPr>
              <w:t>, USA</w:t>
            </w:r>
          </w:p>
        </w:tc>
      </w:tr>
      <w:tr w:rsidR="00AF1055" w:rsidRPr="00660B8E" w:rsidTr="00FA1419">
        <w:tc>
          <w:tcPr>
            <w:tcW w:w="1350" w:type="dxa"/>
          </w:tcPr>
          <w:p w:rsidR="00AF1055" w:rsidRPr="001747DF" w:rsidRDefault="00AF1055" w:rsidP="00FA1419">
            <w:pPr>
              <w:pStyle w:val="covertext"/>
            </w:pPr>
            <w:r w:rsidRPr="001747DF">
              <w:t>Abstract</w:t>
            </w:r>
          </w:p>
        </w:tc>
        <w:tc>
          <w:tcPr>
            <w:tcW w:w="7297" w:type="dxa"/>
          </w:tcPr>
          <w:p w:rsidR="00AF1055" w:rsidRPr="00660B8E" w:rsidRDefault="004C5C6A" w:rsidP="004C5C6A">
            <w:pPr>
              <w:pStyle w:val="covertext"/>
              <w:jc w:val="both"/>
              <w:rPr>
                <w:sz w:val="20"/>
              </w:rPr>
            </w:pPr>
            <w:r>
              <w:rPr>
                <w:rFonts w:hint="eastAsia"/>
                <w:sz w:val="20"/>
              </w:rPr>
              <w:t>Understand the current display type, resolution and its pixel structure used in currently most popular commercial VR HMDs and discuss how its specification is related to the motion sickness caused by the VR experience.</w:t>
            </w:r>
          </w:p>
        </w:tc>
      </w:tr>
      <w:tr w:rsidR="00AF1055" w:rsidRPr="00AC5576" w:rsidTr="00FA1419">
        <w:tc>
          <w:tcPr>
            <w:tcW w:w="1350" w:type="dxa"/>
          </w:tcPr>
          <w:p w:rsidR="00AF1055" w:rsidRPr="001747DF" w:rsidRDefault="00AF1055" w:rsidP="00FA1419">
            <w:pPr>
              <w:pStyle w:val="covertext"/>
            </w:pPr>
            <w:r w:rsidRPr="001747DF">
              <w:t>Purpose</w:t>
            </w:r>
          </w:p>
        </w:tc>
        <w:tc>
          <w:tcPr>
            <w:tcW w:w="7297" w:type="dxa"/>
          </w:tcPr>
          <w:p w:rsidR="00AF1055" w:rsidRPr="00AC5576" w:rsidRDefault="00AF1055" w:rsidP="004C5C6A">
            <w:pPr>
              <w:pStyle w:val="covertext"/>
              <w:jc w:val="both"/>
              <w:rPr>
                <w:sz w:val="20"/>
              </w:rPr>
            </w:pPr>
            <w:r>
              <w:rPr>
                <w:rFonts w:hint="eastAsia"/>
                <w:sz w:val="20"/>
              </w:rPr>
              <w:t>Understand th</w:t>
            </w:r>
            <w:r w:rsidR="004C5C6A">
              <w:rPr>
                <w:rFonts w:hint="eastAsia"/>
                <w:sz w:val="20"/>
              </w:rPr>
              <w:t>e current VR HMD display specifications</w:t>
            </w:r>
            <w:r>
              <w:rPr>
                <w:rFonts w:hint="eastAsia"/>
                <w:sz w:val="20"/>
              </w:rPr>
              <w:t xml:space="preserve"> </w:t>
            </w:r>
            <w:r w:rsidR="006552E9">
              <w:rPr>
                <w:rFonts w:hint="eastAsia"/>
                <w:sz w:val="20"/>
              </w:rPr>
              <w:t>and</w:t>
            </w:r>
            <w:r w:rsidR="004C5C6A">
              <w:rPr>
                <w:rFonts w:hint="eastAsia"/>
                <w:sz w:val="20"/>
              </w:rPr>
              <w:t xml:space="preserve"> discuss any possible correlation between the display specifications and the motion sickness caused by the VR service</w:t>
            </w:r>
            <w:r>
              <w:rPr>
                <w:rFonts w:hint="eastAsia"/>
                <w:sz w:val="20"/>
              </w:rPr>
              <w:t>.</w:t>
            </w:r>
          </w:p>
        </w:tc>
      </w:tr>
      <w:tr w:rsidR="00AF1055" w:rsidRPr="001747DF" w:rsidTr="00FA1419">
        <w:trPr>
          <w:trHeight w:val="840"/>
        </w:trPr>
        <w:tc>
          <w:tcPr>
            <w:tcW w:w="1350" w:type="dxa"/>
          </w:tcPr>
          <w:p w:rsidR="00AF1055" w:rsidRPr="001747DF" w:rsidRDefault="00AF1055" w:rsidP="00FA1419">
            <w:pPr>
              <w:pStyle w:val="covertext"/>
            </w:pPr>
            <w:r w:rsidRPr="001747DF">
              <w:t>Notice</w:t>
            </w:r>
          </w:p>
        </w:tc>
        <w:tc>
          <w:tcPr>
            <w:tcW w:w="7297" w:type="dxa"/>
          </w:tcPr>
          <w:p w:rsidR="00AF1055" w:rsidRPr="001747DF" w:rsidRDefault="00AF1055" w:rsidP="00FA1419">
            <w:pPr>
              <w:pStyle w:val="covertext"/>
              <w:spacing w:before="0" w:after="0"/>
              <w:jc w:val="both"/>
              <w:rPr>
                <w:sz w:val="20"/>
              </w:rPr>
            </w:pPr>
            <w:r w:rsidRPr="001747DF">
              <w:rPr>
                <w:sz w:val="20"/>
              </w:rPr>
              <w:t xml:space="preserve">This document has been prepared to assist the IEEE </w:t>
            </w:r>
            <w:r w:rsidR="00A643CC">
              <w:rPr>
                <w:sz w:val="20"/>
              </w:rPr>
              <w:t>P3333.3</w:t>
            </w:r>
            <w:r w:rsidR="00A643CC" w:rsidRPr="001747DF">
              <w:rPr>
                <w:sz w:val="20"/>
              </w:rPr>
              <w:t xml:space="preserve"> </w:t>
            </w:r>
            <w:r w:rsidRPr="001747DF">
              <w:rPr>
                <w:sz w:val="20"/>
              </w:rPr>
              <w:t>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1055" w:rsidRPr="001747DF" w:rsidTr="00FA1419">
        <w:trPr>
          <w:trHeight w:val="1439"/>
        </w:trPr>
        <w:tc>
          <w:tcPr>
            <w:tcW w:w="1350" w:type="dxa"/>
          </w:tcPr>
          <w:p w:rsidR="00AF1055" w:rsidRPr="001747DF" w:rsidRDefault="00AF1055" w:rsidP="00FA1419">
            <w:pPr>
              <w:pStyle w:val="covertext"/>
            </w:pPr>
            <w:r w:rsidRPr="001747DF">
              <w:t>Release</w:t>
            </w:r>
          </w:p>
        </w:tc>
        <w:tc>
          <w:tcPr>
            <w:tcW w:w="7297" w:type="dxa"/>
          </w:tcPr>
          <w:p w:rsidR="00AF1055" w:rsidRPr="001747DF" w:rsidRDefault="00AF1055" w:rsidP="00FA1419">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bookmarkStart w:id="0" w:name="_GoBack"/>
            <w:bookmarkEnd w:id="0"/>
            <w:r w:rsidR="00A643CC">
              <w:rPr>
                <w:sz w:val="20"/>
              </w:rPr>
              <w:t>P3333.3</w:t>
            </w:r>
            <w:r w:rsidR="00A643CC" w:rsidRPr="001747DF">
              <w:rPr>
                <w:sz w:val="20"/>
              </w:rPr>
              <w:t xml:space="preserve"> </w:t>
            </w:r>
            <w:r w:rsidRPr="001747DF">
              <w:rPr>
                <w:sz w:val="20"/>
              </w:rPr>
              <w:t>may make this contribution public.</w:t>
            </w:r>
          </w:p>
        </w:tc>
      </w:tr>
      <w:tr w:rsidR="00AF1055" w:rsidRPr="001747DF" w:rsidTr="00FA1419">
        <w:trPr>
          <w:trHeight w:val="70"/>
        </w:trPr>
        <w:tc>
          <w:tcPr>
            <w:tcW w:w="1350" w:type="dxa"/>
          </w:tcPr>
          <w:p w:rsidR="00AF1055" w:rsidRPr="001747DF" w:rsidRDefault="00AF1055" w:rsidP="00FA1419">
            <w:pPr>
              <w:pStyle w:val="covertext"/>
            </w:pPr>
            <w:r w:rsidRPr="001747DF">
              <w:t>Patent Policy</w:t>
            </w:r>
          </w:p>
        </w:tc>
        <w:tc>
          <w:tcPr>
            <w:tcW w:w="7297" w:type="dxa"/>
          </w:tcPr>
          <w:p w:rsidR="00AF1055" w:rsidRPr="001747DF" w:rsidRDefault="00AF1055" w:rsidP="00FA1419">
            <w:pPr>
              <w:jc w:val="both"/>
            </w:pPr>
            <w:r w:rsidRPr="001747DF">
              <w:rPr>
                <w:sz w:val="20"/>
              </w:rPr>
              <w:t xml:space="preserve">The contributor is familiar with IEEE patent policy, as stated in </w:t>
            </w:r>
            <w:hyperlink r:id="rId11" w:anchor="6.3" w:tgtFrame="_parent" w:history="1">
              <w:r w:rsidRPr="001747DF">
                <w:rPr>
                  <w:rStyle w:val="a3"/>
                  <w:sz w:val="20"/>
                </w:rPr>
                <w:t>Section 6 of the IEEE-SA Standards Board bylaws</w:t>
              </w:r>
            </w:hyperlink>
            <w:r w:rsidRPr="001747DF">
              <w:rPr>
                <w:sz w:val="20"/>
              </w:rPr>
              <w:t xml:space="preserve"> &lt;</w:t>
            </w:r>
            <w:hyperlink r:id="rId12" w:tgtFrame="_parent" w:history="1">
              <w:r w:rsidRPr="001747DF">
                <w:rPr>
                  <w:rStyle w:val="a3"/>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3" w:tgtFrame="_parent" w:history="1">
              <w:r w:rsidRPr="001747DF">
                <w:rPr>
                  <w:rStyle w:val="a3"/>
                  <w:sz w:val="20"/>
                </w:rPr>
                <w:t>http://standards.ieee.org/board/pat/faq.pdf</w:t>
              </w:r>
            </w:hyperlink>
          </w:p>
        </w:tc>
      </w:tr>
    </w:tbl>
    <w:p w:rsidR="00AF1055" w:rsidRDefault="00AF1055"/>
    <w:p w:rsidR="00AF1055" w:rsidRDefault="00AF1055">
      <w:pPr>
        <w:tabs>
          <w:tab w:val="clear" w:pos="284"/>
        </w:tabs>
        <w:spacing w:before="0" w:after="200" w:line="276" w:lineRule="auto"/>
        <w:jc w:val="both"/>
      </w:pPr>
      <w:r>
        <w:br w:type="page"/>
      </w:r>
    </w:p>
    <w:p w:rsidR="004C5C6A" w:rsidRDefault="004C5C6A" w:rsidP="00AF1055">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lastRenderedPageBreak/>
        <w:t>&lt;Most Popular Commercial VR HMDs in the market and their specifications&gt;</w:t>
      </w:r>
    </w:p>
    <w:p w:rsidR="00AB6E35" w:rsidRDefault="00AB6E35" w:rsidP="00AB6E35">
      <w:pPr>
        <w:pStyle w:val="a5"/>
        <w:shd w:val="clear" w:color="auto" w:fill="FFFFFF"/>
        <w:spacing w:before="0" w:beforeAutospacing="0" w:after="0" w:afterAutospacing="0" w:line="408" w:lineRule="atLeast"/>
        <w:jc w:val="center"/>
        <w:textAlignment w:val="baseline"/>
        <w:rPr>
          <w:rFonts w:ascii="Oswald" w:hAnsi="Oswald" w:hint="eastAsia"/>
          <w:color w:val="000000"/>
          <w:sz w:val="38"/>
          <w:szCs w:val="38"/>
        </w:rPr>
      </w:pPr>
      <w:r>
        <w:rPr>
          <w:rFonts w:ascii="Oswald" w:hAnsi="Oswald" w:hint="eastAsia"/>
          <w:noProof/>
          <w:color w:val="000000"/>
          <w:sz w:val="38"/>
          <w:szCs w:val="38"/>
        </w:rPr>
        <w:drawing>
          <wp:inline distT="0" distB="0" distL="0" distR="0" wp14:anchorId="15A23B19" wp14:editId="0BC1DCC4">
            <wp:extent cx="4867275" cy="197167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1971675"/>
                    </a:xfrm>
                    <a:prstGeom prst="rect">
                      <a:avLst/>
                    </a:prstGeom>
                    <a:noFill/>
                    <a:ln>
                      <a:noFill/>
                    </a:ln>
                  </pic:spPr>
                </pic:pic>
              </a:graphicData>
            </a:graphic>
          </wp:inline>
        </w:drawing>
      </w:r>
    </w:p>
    <w:p w:rsidR="00AB6E35" w:rsidRPr="00AB6E35" w:rsidRDefault="00AB6E35" w:rsidP="00AB6E35">
      <w:pPr>
        <w:pStyle w:val="a5"/>
        <w:shd w:val="clear" w:color="auto" w:fill="FFFFFF"/>
        <w:spacing w:before="0" w:beforeAutospacing="0" w:after="0" w:afterAutospacing="0" w:line="408" w:lineRule="atLeast"/>
        <w:jc w:val="center"/>
        <w:textAlignment w:val="baseline"/>
        <w:rPr>
          <w:rFonts w:ascii="Oswald" w:hAnsi="Oswald" w:hint="eastAsia"/>
          <w:b/>
          <w:color w:val="000000"/>
          <w:sz w:val="21"/>
          <w:szCs w:val="21"/>
        </w:rPr>
      </w:pPr>
      <w:r w:rsidRPr="00AB6E35">
        <w:rPr>
          <w:rFonts w:ascii="Oswald" w:hAnsi="Oswald" w:hint="eastAsia"/>
          <w:b/>
          <w:color w:val="000000"/>
          <w:sz w:val="21"/>
          <w:szCs w:val="21"/>
        </w:rPr>
        <w:t>Figure 1</w:t>
      </w:r>
      <w:r>
        <w:rPr>
          <w:rFonts w:ascii="Oswald" w:hAnsi="Oswald" w:hint="eastAsia"/>
          <w:b/>
          <w:color w:val="000000"/>
          <w:sz w:val="21"/>
          <w:szCs w:val="21"/>
        </w:rPr>
        <w:t>.</w:t>
      </w:r>
      <w:r w:rsidRPr="00AB6E35">
        <w:rPr>
          <w:rFonts w:ascii="Oswald" w:hAnsi="Oswald" w:hint="eastAsia"/>
          <w:b/>
          <w:color w:val="000000"/>
          <w:sz w:val="21"/>
          <w:szCs w:val="21"/>
        </w:rPr>
        <w:t xml:space="preserve"> HTC Vive, Oculus Rift and Sony PS VR (From left to right)</w:t>
      </w:r>
    </w:p>
    <w:p w:rsidR="00AB6E35" w:rsidRPr="00AB6E35" w:rsidRDefault="00AB6E35" w:rsidP="00AB6E35">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p>
    <w:p w:rsidR="00AB6E35" w:rsidRPr="00AB6E35" w:rsidRDefault="00C1458A" w:rsidP="00AB6E35">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Since the acquisition of Oculus by Facebook in 2014, virtual reality has been receiving a lot of industrial attention. In almost any large consumer electronic shows and IT conferences, </w:t>
      </w:r>
      <w:r w:rsidR="00AB6E35">
        <w:rPr>
          <w:rFonts w:ascii="Times New Roman" w:hAnsi="Times New Roman" w:cs="Times New Roman" w:hint="eastAsia"/>
          <w:color w:val="000000"/>
          <w:sz w:val="21"/>
          <w:szCs w:val="21"/>
        </w:rPr>
        <w:t xml:space="preserve">the presence of </w:t>
      </w:r>
      <w:r>
        <w:rPr>
          <w:rFonts w:ascii="Times New Roman" w:hAnsi="Times New Roman" w:cs="Times New Roman" w:hint="eastAsia"/>
          <w:color w:val="000000"/>
          <w:sz w:val="21"/>
          <w:szCs w:val="21"/>
        </w:rPr>
        <w:t xml:space="preserve">virtual reality </w:t>
      </w:r>
      <w:r w:rsidR="00AB6E35">
        <w:rPr>
          <w:rFonts w:ascii="Times New Roman" w:hAnsi="Times New Roman" w:cs="Times New Roman" w:hint="eastAsia"/>
          <w:color w:val="000000"/>
          <w:sz w:val="21"/>
          <w:szCs w:val="21"/>
        </w:rPr>
        <w:t>tech demos was very strong. Especially in 2016, Facebook Oculus, HTC and Sony have released their commercial version of VR HMD and opened an era of affordable consumer VR experience. However, due to the lack of industrial standards, each company has created their own versions of VR HMD with various specifications and this is causing the manufacturing price of VR HMD to rise as the sales of the hardware is still at its early stage. Hence, it would be worthwhile to examine the current specifications of each commercial VR HMD, especially on the display, to enhance the understanding of current status and discuss what would be needed to standardize the hardware specification.</w:t>
      </w:r>
    </w:p>
    <w:tbl>
      <w:tblPr>
        <w:tblW w:w="8976" w:type="dxa"/>
        <w:shd w:val="clear" w:color="auto" w:fill="FFFFFF"/>
        <w:tblCellMar>
          <w:left w:w="0" w:type="dxa"/>
          <w:right w:w="0" w:type="dxa"/>
        </w:tblCellMar>
        <w:tblLook w:val="04A0" w:firstRow="1" w:lastRow="0" w:firstColumn="1" w:lastColumn="0" w:noHBand="0" w:noVBand="1"/>
      </w:tblPr>
      <w:tblGrid>
        <w:gridCol w:w="1321"/>
        <w:gridCol w:w="2551"/>
        <w:gridCol w:w="2552"/>
        <w:gridCol w:w="2552"/>
      </w:tblGrid>
      <w:tr w:rsidR="004C5C6A" w:rsidTr="004C5C6A">
        <w:tc>
          <w:tcPr>
            <w:tcW w:w="1321" w:type="dxa"/>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AF1055" w:rsidRDefault="00AF1055" w:rsidP="00C1458A">
            <w:pPr>
              <w:spacing w:line="300" w:lineRule="atLeast"/>
              <w:rPr>
                <w:rFonts w:ascii="inherit" w:eastAsia="굴림" w:hAnsi="inherit" w:cs="굴림" w:hint="eastAsia"/>
                <w:color w:val="000000"/>
                <w:sz w:val="21"/>
                <w:szCs w:val="21"/>
              </w:rPr>
            </w:pPr>
          </w:p>
        </w:tc>
        <w:tc>
          <w:tcPr>
            <w:tcW w:w="2551" w:type="dxa"/>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AF1055" w:rsidRDefault="00AF1055" w:rsidP="00C1458A">
            <w:pPr>
              <w:spacing w:line="300" w:lineRule="atLeast"/>
              <w:rPr>
                <w:rFonts w:ascii="inherit" w:eastAsia="굴림" w:hAnsi="inherit" w:cs="굴림" w:hint="eastAsia"/>
                <w:color w:val="000000"/>
                <w:sz w:val="21"/>
                <w:szCs w:val="21"/>
              </w:rPr>
            </w:pPr>
            <w:r>
              <w:rPr>
                <w:rStyle w:val="a6"/>
                <w:rFonts w:ascii="inherit" w:hAnsi="inherit"/>
                <w:color w:val="000000"/>
                <w:sz w:val="21"/>
                <w:szCs w:val="21"/>
                <w:bdr w:val="none" w:sz="0" w:space="0" w:color="auto" w:frame="1"/>
              </w:rPr>
              <w:t>HTC Vive</w:t>
            </w:r>
          </w:p>
        </w:tc>
        <w:tc>
          <w:tcPr>
            <w:tcW w:w="2552" w:type="dxa"/>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AF1055" w:rsidRDefault="00AF1055" w:rsidP="00C1458A">
            <w:pPr>
              <w:spacing w:line="300" w:lineRule="atLeast"/>
              <w:rPr>
                <w:rFonts w:ascii="inherit" w:eastAsia="굴림" w:hAnsi="inherit" w:cs="굴림" w:hint="eastAsia"/>
                <w:color w:val="000000"/>
                <w:sz w:val="21"/>
                <w:szCs w:val="21"/>
              </w:rPr>
            </w:pPr>
            <w:r>
              <w:rPr>
                <w:rStyle w:val="a6"/>
                <w:rFonts w:ascii="inherit" w:hAnsi="inherit"/>
                <w:color w:val="000000"/>
                <w:sz w:val="21"/>
                <w:szCs w:val="21"/>
                <w:bdr w:val="none" w:sz="0" w:space="0" w:color="auto" w:frame="1"/>
              </w:rPr>
              <w:t>Oculus Rift</w:t>
            </w:r>
          </w:p>
        </w:tc>
        <w:tc>
          <w:tcPr>
            <w:tcW w:w="2552" w:type="dxa"/>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AF1055" w:rsidRDefault="00AF1055" w:rsidP="00C1458A">
            <w:pPr>
              <w:spacing w:line="300" w:lineRule="atLeast"/>
              <w:rPr>
                <w:rFonts w:ascii="inherit" w:eastAsia="굴림" w:hAnsi="inherit" w:cs="굴림" w:hint="eastAsia"/>
                <w:color w:val="000000"/>
                <w:sz w:val="21"/>
                <w:szCs w:val="21"/>
              </w:rPr>
            </w:pPr>
            <w:r>
              <w:rPr>
                <w:rStyle w:val="a6"/>
                <w:rFonts w:ascii="inherit" w:hAnsi="inherit"/>
                <w:color w:val="000000"/>
                <w:sz w:val="21"/>
                <w:szCs w:val="21"/>
                <w:bdr w:val="none" w:sz="0" w:space="0" w:color="auto" w:frame="1"/>
              </w:rPr>
              <w:t>PlayStation VR</w:t>
            </w:r>
          </w:p>
        </w:tc>
      </w:tr>
      <w:tr w:rsidR="004C5C6A" w:rsidTr="004C5C6A">
        <w:tc>
          <w:tcPr>
            <w:tcW w:w="1321" w:type="dxa"/>
            <w:tcBorders>
              <w:top w:val="single" w:sz="6" w:space="0" w:color="D1D2D3"/>
              <w:left w:val="single" w:sz="6" w:space="0" w:color="D1D2D3"/>
              <w:bottom w:val="single" w:sz="6" w:space="0" w:color="D1D2D3"/>
              <w:right w:val="single" w:sz="6" w:space="0" w:color="D1D2D3"/>
            </w:tcBorders>
            <w:shd w:val="clear" w:color="auto" w:fill="E3E4E6"/>
            <w:tcMar>
              <w:top w:w="150" w:type="dxa"/>
              <w:left w:w="45" w:type="dxa"/>
              <w:bottom w:w="150" w:type="dxa"/>
              <w:right w:w="45" w:type="dxa"/>
            </w:tcMar>
            <w:vAlign w:val="center"/>
            <w:hideMark/>
          </w:tcPr>
          <w:p w:rsidR="00AF1055" w:rsidRDefault="00AF1055" w:rsidP="00C1458A">
            <w:pPr>
              <w:spacing w:line="300" w:lineRule="atLeast"/>
              <w:rPr>
                <w:rFonts w:ascii="inherit" w:eastAsia="굴림" w:hAnsi="inherit" w:cs="굴림" w:hint="eastAsia"/>
                <w:color w:val="000000"/>
                <w:sz w:val="21"/>
                <w:szCs w:val="21"/>
              </w:rPr>
            </w:pPr>
            <w:r>
              <w:rPr>
                <w:rStyle w:val="a6"/>
                <w:rFonts w:ascii="inherit" w:hAnsi="inherit"/>
                <w:color w:val="000000"/>
                <w:sz w:val="21"/>
                <w:szCs w:val="21"/>
                <w:bdr w:val="none" w:sz="0" w:space="0" w:color="auto" w:frame="1"/>
              </w:rPr>
              <w:t xml:space="preserve">Type </w:t>
            </w:r>
          </w:p>
        </w:tc>
        <w:tc>
          <w:tcPr>
            <w:tcW w:w="2551" w:type="dxa"/>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AF1055" w:rsidRDefault="00AF1055" w:rsidP="00C1458A">
            <w:pPr>
              <w:spacing w:line="300" w:lineRule="atLeast"/>
              <w:rPr>
                <w:rFonts w:ascii="inherit" w:eastAsia="굴림" w:hAnsi="inherit" w:cs="굴림" w:hint="eastAsia"/>
                <w:color w:val="333333"/>
                <w:sz w:val="21"/>
                <w:szCs w:val="21"/>
              </w:rPr>
            </w:pPr>
            <w:r>
              <w:rPr>
                <w:rFonts w:ascii="inherit" w:hAnsi="inherit"/>
                <w:color w:val="333333"/>
                <w:sz w:val="21"/>
                <w:szCs w:val="21"/>
              </w:rPr>
              <w:t>Dual low-persistence</w:t>
            </w:r>
            <w:r>
              <w:rPr>
                <w:rFonts w:ascii="inherit" w:hAnsi="inherit"/>
                <w:color w:val="333333"/>
                <w:sz w:val="21"/>
                <w:szCs w:val="21"/>
              </w:rPr>
              <w:br/>
              <w:t>Samsung AMOLED</w:t>
            </w:r>
            <w:r>
              <w:rPr>
                <w:rFonts w:ascii="inherit" w:hAnsi="inherit"/>
                <w:color w:val="333333"/>
                <w:sz w:val="21"/>
                <w:szCs w:val="21"/>
              </w:rPr>
              <w:br/>
              <w:t>(Diamond PenTile</w:t>
            </w:r>
            <w:r>
              <w:rPr>
                <w:rFonts w:ascii="inherit" w:hAnsi="inherit"/>
                <w:color w:val="333333"/>
                <w:sz w:val="21"/>
                <w:szCs w:val="21"/>
              </w:rPr>
              <w:br/>
              <w:t>subpixel matrix)</w:t>
            </w:r>
          </w:p>
        </w:tc>
        <w:tc>
          <w:tcPr>
            <w:tcW w:w="2552" w:type="dxa"/>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Dual low-persistence</w:t>
            </w:r>
            <w:r>
              <w:rPr>
                <w:rFonts w:ascii="inherit" w:hAnsi="inherit"/>
                <w:color w:val="333333"/>
                <w:sz w:val="21"/>
                <w:szCs w:val="21"/>
              </w:rPr>
              <w:br/>
              <w:t>Samsung AMOLED</w:t>
            </w:r>
            <w:r>
              <w:rPr>
                <w:rFonts w:ascii="inherit" w:hAnsi="inherit"/>
                <w:color w:val="333333"/>
                <w:sz w:val="21"/>
                <w:szCs w:val="21"/>
              </w:rPr>
              <w:br/>
              <w:t>(</w:t>
            </w:r>
            <w:r w:rsidR="00C1458A">
              <w:rPr>
                <w:rFonts w:ascii="inherit" w:hAnsi="inherit"/>
                <w:color w:val="333333"/>
                <w:sz w:val="21"/>
                <w:szCs w:val="21"/>
              </w:rPr>
              <w:t>Diamond PenTile</w:t>
            </w:r>
            <w:r w:rsidR="00C1458A">
              <w:rPr>
                <w:rFonts w:ascii="inherit" w:hAnsi="inherit"/>
                <w:color w:val="333333"/>
                <w:sz w:val="21"/>
                <w:szCs w:val="21"/>
              </w:rPr>
              <w:br/>
              <w:t>subpixel matrix</w:t>
            </w:r>
            <w:r>
              <w:rPr>
                <w:rFonts w:ascii="inherit" w:hAnsi="inherit"/>
                <w:color w:val="333333"/>
                <w:sz w:val="21"/>
                <w:szCs w:val="21"/>
              </w:rPr>
              <w:t>)</w:t>
            </w:r>
          </w:p>
        </w:tc>
        <w:tc>
          <w:tcPr>
            <w:tcW w:w="2552" w:type="dxa"/>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AF1055" w:rsidRDefault="00AF1055" w:rsidP="00FA1419">
            <w:pPr>
              <w:spacing w:after="240" w:line="300" w:lineRule="atLeast"/>
              <w:rPr>
                <w:rFonts w:ascii="inherit" w:eastAsia="굴림" w:hAnsi="inherit" w:cs="굴림" w:hint="eastAsia"/>
                <w:color w:val="333333"/>
                <w:sz w:val="21"/>
                <w:szCs w:val="21"/>
              </w:rPr>
            </w:pPr>
            <w:r>
              <w:rPr>
                <w:rFonts w:ascii="inherit" w:hAnsi="inherit"/>
                <w:color w:val="333333"/>
                <w:sz w:val="21"/>
                <w:szCs w:val="21"/>
              </w:rPr>
              <w:t>Low-persistence</w:t>
            </w:r>
            <w:r>
              <w:rPr>
                <w:rFonts w:ascii="inherit" w:hAnsi="inherit"/>
                <w:color w:val="333333"/>
                <w:sz w:val="21"/>
                <w:szCs w:val="21"/>
              </w:rPr>
              <w:br/>
              <w:t>AMOLED</w:t>
            </w:r>
            <w:r>
              <w:rPr>
                <w:rFonts w:ascii="inherit" w:hAnsi="inherit"/>
                <w:color w:val="333333"/>
                <w:sz w:val="21"/>
                <w:szCs w:val="21"/>
              </w:rPr>
              <w:br/>
              <w:t>(RGB subpixel matrix)</w:t>
            </w:r>
          </w:p>
        </w:tc>
      </w:tr>
      <w:tr w:rsidR="004C5C6A" w:rsidTr="004C5C6A">
        <w:tc>
          <w:tcPr>
            <w:tcW w:w="1321" w:type="dxa"/>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000000"/>
                <w:sz w:val="21"/>
                <w:szCs w:val="21"/>
              </w:rPr>
            </w:pPr>
            <w:r>
              <w:rPr>
                <w:rStyle w:val="a6"/>
                <w:rFonts w:ascii="inherit" w:hAnsi="inherit"/>
                <w:color w:val="000000"/>
                <w:sz w:val="21"/>
                <w:szCs w:val="21"/>
                <w:bdr w:val="none" w:sz="0" w:space="0" w:color="auto" w:frame="1"/>
              </w:rPr>
              <w:t>Size</w:t>
            </w:r>
          </w:p>
        </w:tc>
        <w:tc>
          <w:tcPr>
            <w:tcW w:w="2551" w:type="dxa"/>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91.9 mm × 2, 447 ppi</w:t>
            </w:r>
          </w:p>
        </w:tc>
        <w:tc>
          <w:tcPr>
            <w:tcW w:w="2552" w:type="dxa"/>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90 mm × 2, 456 ppi</w:t>
            </w:r>
          </w:p>
        </w:tc>
        <w:tc>
          <w:tcPr>
            <w:tcW w:w="2552" w:type="dxa"/>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5.7-inch</w:t>
            </w:r>
          </w:p>
        </w:tc>
      </w:tr>
      <w:tr w:rsidR="004C5C6A" w:rsidTr="004C5C6A">
        <w:tc>
          <w:tcPr>
            <w:tcW w:w="1321" w:type="dxa"/>
            <w:tcBorders>
              <w:top w:val="single" w:sz="6" w:space="0" w:color="D1D2D3"/>
              <w:left w:val="single" w:sz="6" w:space="0" w:color="D1D2D3"/>
              <w:bottom w:val="single" w:sz="6" w:space="0" w:color="D1D2D3"/>
              <w:right w:val="single" w:sz="6" w:space="0" w:color="D1D2D3"/>
            </w:tcBorders>
            <w:shd w:val="clear" w:color="auto" w:fill="E3E4E6"/>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000000"/>
                <w:sz w:val="21"/>
                <w:szCs w:val="21"/>
              </w:rPr>
            </w:pPr>
            <w:r>
              <w:rPr>
                <w:rStyle w:val="a6"/>
                <w:rFonts w:ascii="inherit" w:hAnsi="inherit"/>
                <w:color w:val="000000"/>
                <w:sz w:val="21"/>
                <w:szCs w:val="21"/>
                <w:bdr w:val="none" w:sz="0" w:space="0" w:color="auto" w:frame="1"/>
              </w:rPr>
              <w:t>Resolution</w:t>
            </w:r>
          </w:p>
        </w:tc>
        <w:tc>
          <w:tcPr>
            <w:tcW w:w="2551" w:type="dxa"/>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1200 × 1080</w:t>
            </w:r>
            <w:r>
              <w:rPr>
                <w:rFonts w:ascii="inherit" w:hAnsi="inherit"/>
                <w:color w:val="333333"/>
                <w:sz w:val="21"/>
                <w:szCs w:val="21"/>
              </w:rPr>
              <w:br/>
              <w:t>(per eye)</w:t>
            </w:r>
          </w:p>
        </w:tc>
        <w:tc>
          <w:tcPr>
            <w:tcW w:w="2552" w:type="dxa"/>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1200 × 1080</w:t>
            </w:r>
            <w:r>
              <w:rPr>
                <w:rFonts w:ascii="inherit" w:hAnsi="inherit"/>
                <w:color w:val="333333"/>
                <w:sz w:val="21"/>
                <w:szCs w:val="21"/>
              </w:rPr>
              <w:br/>
              <w:t>(per eye)</w:t>
            </w:r>
          </w:p>
        </w:tc>
        <w:tc>
          <w:tcPr>
            <w:tcW w:w="2552" w:type="dxa"/>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960 × 1080</w:t>
            </w:r>
            <w:r>
              <w:rPr>
                <w:rFonts w:ascii="inherit" w:hAnsi="inherit"/>
                <w:color w:val="333333"/>
                <w:sz w:val="21"/>
                <w:szCs w:val="21"/>
              </w:rPr>
              <w:br/>
              <w:t>(per eye)</w:t>
            </w:r>
          </w:p>
        </w:tc>
      </w:tr>
      <w:tr w:rsidR="004C5C6A" w:rsidTr="004C5C6A">
        <w:tc>
          <w:tcPr>
            <w:tcW w:w="1321" w:type="dxa"/>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000000"/>
                <w:sz w:val="21"/>
                <w:szCs w:val="21"/>
              </w:rPr>
            </w:pPr>
            <w:r>
              <w:rPr>
                <w:rStyle w:val="a6"/>
                <w:rFonts w:ascii="inherit" w:hAnsi="inherit"/>
                <w:color w:val="000000"/>
                <w:sz w:val="21"/>
                <w:szCs w:val="21"/>
                <w:bdr w:val="none" w:sz="0" w:space="0" w:color="auto" w:frame="1"/>
              </w:rPr>
              <w:t>Refresh Rate</w:t>
            </w:r>
          </w:p>
        </w:tc>
        <w:tc>
          <w:tcPr>
            <w:tcW w:w="2551" w:type="dxa"/>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90Hz</w:t>
            </w:r>
          </w:p>
        </w:tc>
        <w:tc>
          <w:tcPr>
            <w:tcW w:w="2552" w:type="dxa"/>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90Hz</w:t>
            </w:r>
          </w:p>
        </w:tc>
        <w:tc>
          <w:tcPr>
            <w:tcW w:w="2552" w:type="dxa"/>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AF1055" w:rsidRDefault="00AF1055"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90Hz, 120Hz</w:t>
            </w:r>
          </w:p>
        </w:tc>
      </w:tr>
    </w:tbl>
    <w:p w:rsidR="00AB6E35" w:rsidRPr="00AB6E35" w:rsidRDefault="00AB6E35" w:rsidP="00AB6E35">
      <w:pPr>
        <w:pStyle w:val="a5"/>
        <w:shd w:val="clear" w:color="auto" w:fill="FFFFFF"/>
        <w:spacing w:before="0" w:beforeAutospacing="0" w:after="0" w:afterAutospacing="0" w:line="408" w:lineRule="atLeast"/>
        <w:jc w:val="center"/>
        <w:textAlignment w:val="baseline"/>
        <w:rPr>
          <w:rFonts w:ascii="Times New Roman" w:hAnsi="Times New Roman" w:cs="Times New Roman"/>
          <w:b/>
          <w:color w:val="000000"/>
          <w:sz w:val="21"/>
          <w:szCs w:val="21"/>
        </w:rPr>
      </w:pPr>
      <w:r w:rsidRPr="00AB6E35">
        <w:rPr>
          <w:rFonts w:ascii="Times New Roman" w:hAnsi="Times New Roman" w:cs="Times New Roman" w:hint="eastAsia"/>
          <w:b/>
          <w:color w:val="000000"/>
          <w:sz w:val="21"/>
          <w:szCs w:val="21"/>
        </w:rPr>
        <w:t>Table 1. Display Specifications of VR HMDs</w:t>
      </w:r>
    </w:p>
    <w:p w:rsidR="00AF1055" w:rsidRDefault="00AB6E35" w:rsidP="00211DA0">
      <w:pPr>
        <w:pStyle w:val="a5"/>
        <w:shd w:val="clear" w:color="auto" w:fill="FFFFFF"/>
        <w:spacing w:before="0" w:beforeAutospacing="0" w:after="0" w:afterAutospacing="0" w:line="408" w:lineRule="atLeast"/>
        <w:textAlignment w:val="baseline"/>
        <w:rPr>
          <w:rFonts w:ascii="Verdana" w:hAnsi="Verdana"/>
          <w:color w:val="000000"/>
          <w:sz w:val="21"/>
          <w:szCs w:val="21"/>
        </w:rPr>
      </w:pPr>
      <w:r>
        <w:rPr>
          <w:rFonts w:ascii="Times New Roman" w:hAnsi="Times New Roman" w:cs="Times New Roman" w:hint="eastAsia"/>
          <w:color w:val="000000"/>
          <w:sz w:val="21"/>
          <w:szCs w:val="21"/>
        </w:rPr>
        <w:lastRenderedPageBreak/>
        <w:t xml:space="preserve">The table 1 shows the </w:t>
      </w:r>
      <w:r>
        <w:rPr>
          <w:rFonts w:ascii="Times New Roman" w:hAnsi="Times New Roman" w:cs="Times New Roman"/>
          <w:color w:val="000000"/>
          <w:sz w:val="21"/>
          <w:szCs w:val="21"/>
        </w:rPr>
        <w:t>information</w:t>
      </w:r>
      <w:r>
        <w:rPr>
          <w:rFonts w:ascii="Times New Roman" w:hAnsi="Times New Roman" w:cs="Times New Roman" w:hint="eastAsia"/>
          <w:color w:val="000000"/>
          <w:sz w:val="21"/>
          <w:szCs w:val="21"/>
        </w:rPr>
        <w:t xml:space="preserve"> provided by the manufacturers themselves and the understanding of Samsung OLED display technology.</w:t>
      </w:r>
      <w:r w:rsidR="00211DA0">
        <w:rPr>
          <w:rFonts w:ascii="Times New Roman" w:hAnsi="Times New Roman" w:cs="Times New Roman" w:hint="eastAsia"/>
          <w:color w:val="000000"/>
          <w:sz w:val="21"/>
          <w:szCs w:val="21"/>
        </w:rPr>
        <w:t xml:space="preserve"> In order to produce an immersive visual experience in VR, four elements </w:t>
      </w:r>
      <w:r w:rsidR="00211DA0">
        <w:rPr>
          <w:rFonts w:ascii="Times New Roman" w:hAnsi="Times New Roman" w:cs="Times New Roman"/>
          <w:color w:val="000000"/>
          <w:sz w:val="21"/>
          <w:szCs w:val="21"/>
        </w:rPr>
        <w:t>–</w:t>
      </w:r>
      <w:r w:rsidR="00211DA0">
        <w:rPr>
          <w:rFonts w:ascii="Times New Roman" w:hAnsi="Times New Roman" w:cs="Times New Roman" w:hint="eastAsia"/>
          <w:color w:val="000000"/>
          <w:sz w:val="21"/>
          <w:szCs w:val="21"/>
        </w:rPr>
        <w:t xml:space="preserve"> display resolution, </w:t>
      </w:r>
      <w:r w:rsidR="00211DA0">
        <w:rPr>
          <w:rFonts w:ascii="Times New Roman" w:hAnsi="Times New Roman" w:cs="Times New Roman"/>
          <w:color w:val="000000"/>
          <w:sz w:val="21"/>
          <w:szCs w:val="21"/>
        </w:rPr>
        <w:t>display</w:t>
      </w:r>
      <w:r w:rsidR="00211DA0">
        <w:rPr>
          <w:rFonts w:ascii="Times New Roman" w:hAnsi="Times New Roman" w:cs="Times New Roman" w:hint="eastAsia"/>
          <w:color w:val="000000"/>
          <w:sz w:val="21"/>
          <w:szCs w:val="21"/>
        </w:rPr>
        <w:t xml:space="preserve"> quality, optics and field of view </w:t>
      </w:r>
      <w:r w:rsidR="00211DA0">
        <w:rPr>
          <w:rFonts w:ascii="Times New Roman" w:hAnsi="Times New Roman" w:cs="Times New Roman"/>
          <w:color w:val="000000"/>
          <w:sz w:val="21"/>
          <w:szCs w:val="21"/>
        </w:rPr>
        <w:t>–</w:t>
      </w:r>
      <w:r w:rsidR="00211DA0">
        <w:rPr>
          <w:rFonts w:ascii="Times New Roman" w:hAnsi="Times New Roman" w:cs="Times New Roman" w:hint="eastAsia"/>
          <w:color w:val="000000"/>
          <w:sz w:val="21"/>
          <w:szCs w:val="21"/>
        </w:rPr>
        <w:t xml:space="preserve"> are required and it would be important to understand why the current VR HMDs have chosen the current display types and resolution.</w:t>
      </w:r>
    </w:p>
    <w:p w:rsidR="00211DA0" w:rsidRDefault="00AF1055" w:rsidP="00AF1055">
      <w:pPr>
        <w:pStyle w:val="a5"/>
        <w:shd w:val="clear" w:color="auto" w:fill="FFFFFF"/>
        <w:spacing w:before="0" w:beforeAutospacing="0" w:after="0" w:afterAutospacing="0" w:line="408" w:lineRule="atLeast"/>
        <w:textAlignment w:val="baseline"/>
        <w:rPr>
          <w:rFonts w:ascii="Verdana" w:hAnsi="Verdana"/>
          <w:color w:val="000000"/>
          <w:sz w:val="21"/>
          <w:szCs w:val="21"/>
        </w:rPr>
      </w:pPr>
      <w:r>
        <w:rPr>
          <w:rFonts w:ascii="inherit" w:hAnsi="inherit" w:hint="eastAsia"/>
          <w:noProof/>
          <w:color w:val="111E9E"/>
          <w:sz w:val="21"/>
          <w:szCs w:val="21"/>
          <w:bdr w:val="none" w:sz="0" w:space="0" w:color="auto" w:frame="1"/>
        </w:rPr>
        <w:drawing>
          <wp:inline distT="0" distB="0" distL="0" distR="0" wp14:anchorId="2DC96726" wp14:editId="2286F73F">
            <wp:extent cx="5715000" cy="2381250"/>
            <wp:effectExtent l="0" t="0" r="0" b="0"/>
            <wp:docPr id="7" name="그림 7" descr="http://media.bestofmicro.com/W/J/570115/gallery/RGB-vs-PenTile_4_w_600.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bestofmicro.com/W/J/570115/gallery/RGB-vs-PenTile_4_w_6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rsidR="00211DA0" w:rsidRPr="00211DA0" w:rsidRDefault="00211DA0" w:rsidP="00211DA0">
      <w:pPr>
        <w:pStyle w:val="a5"/>
        <w:shd w:val="clear" w:color="auto" w:fill="FFFFFF"/>
        <w:spacing w:before="0" w:beforeAutospacing="0" w:after="0" w:afterAutospacing="0" w:line="408" w:lineRule="atLeast"/>
        <w:jc w:val="center"/>
        <w:textAlignment w:val="baseline"/>
        <w:rPr>
          <w:rFonts w:ascii="Times New Roman" w:hAnsi="Times New Roman" w:cs="Times New Roman"/>
          <w:b/>
          <w:color w:val="000000"/>
          <w:sz w:val="21"/>
          <w:szCs w:val="21"/>
        </w:rPr>
      </w:pPr>
      <w:r w:rsidRPr="00211DA0">
        <w:rPr>
          <w:rFonts w:ascii="Times New Roman" w:hAnsi="Times New Roman" w:cs="Times New Roman" w:hint="eastAsia"/>
          <w:b/>
          <w:color w:val="000000"/>
          <w:sz w:val="21"/>
          <w:szCs w:val="21"/>
        </w:rPr>
        <w:t xml:space="preserve">Figure 2. Subpixel </w:t>
      </w:r>
      <w:r>
        <w:rPr>
          <w:rFonts w:ascii="Times New Roman" w:hAnsi="Times New Roman" w:cs="Times New Roman" w:hint="eastAsia"/>
          <w:b/>
          <w:color w:val="000000"/>
          <w:sz w:val="21"/>
          <w:szCs w:val="21"/>
        </w:rPr>
        <w:t>matrix</w:t>
      </w:r>
      <w:r w:rsidRPr="00211DA0">
        <w:rPr>
          <w:rFonts w:ascii="Times New Roman" w:hAnsi="Times New Roman" w:cs="Times New Roman" w:hint="eastAsia"/>
          <w:b/>
          <w:color w:val="000000"/>
          <w:sz w:val="21"/>
          <w:szCs w:val="21"/>
        </w:rPr>
        <w:t xml:space="preserve"> of OLED display used in VR HMDs</w:t>
      </w:r>
    </w:p>
    <w:p w:rsidR="00D21832" w:rsidRDefault="00211DA0" w:rsidP="000C1FDA">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Looking at the table 1, both Oculus Rift and HTC Vive are using the Samsung Display manufactured OLED display and its resolution specification is superior to the display resolution specification of Sony PS VR. However, the display quality difference received by the user using the VR service between the three devices is minimal and this is due to the subpixel matrix. Figure 2 demonstrates how the subpixel matrix of the OLED screen used in PS VR and Oculus Rift &amp; HTC Vive. Normally, it is very difficult to distinguish the subpixel matrix of the AMOLED displays </w:t>
      </w:r>
      <w:r w:rsidR="000047AC">
        <w:rPr>
          <w:rFonts w:ascii="Times New Roman" w:hAnsi="Times New Roman" w:cs="Times New Roman" w:hint="eastAsia"/>
          <w:color w:val="000000"/>
          <w:sz w:val="21"/>
          <w:szCs w:val="21"/>
        </w:rPr>
        <w:t>used in the</w:t>
      </w:r>
      <w:r>
        <w:rPr>
          <w:rFonts w:ascii="Times New Roman" w:hAnsi="Times New Roman" w:cs="Times New Roman" w:hint="eastAsia"/>
          <w:color w:val="000000"/>
          <w:sz w:val="21"/>
          <w:szCs w:val="21"/>
        </w:rPr>
        <w:t xml:space="preserve"> devices like </w:t>
      </w:r>
      <w:r>
        <w:rPr>
          <w:rFonts w:ascii="Times New Roman" w:hAnsi="Times New Roman" w:cs="Times New Roman"/>
          <w:color w:val="000000"/>
          <w:sz w:val="21"/>
          <w:szCs w:val="21"/>
        </w:rPr>
        <w:t>smartphones</w:t>
      </w:r>
      <w:r w:rsidR="000047AC">
        <w:rPr>
          <w:rFonts w:ascii="Times New Roman" w:hAnsi="Times New Roman" w:cs="Times New Roman" w:hint="eastAsia"/>
          <w:color w:val="000000"/>
          <w:sz w:val="21"/>
          <w:szCs w:val="21"/>
        </w:rPr>
        <w:t xml:space="preserve"> as the user</w:t>
      </w:r>
      <w:r>
        <w:rPr>
          <w:rFonts w:ascii="Times New Roman" w:hAnsi="Times New Roman" w:cs="Times New Roman" w:hint="eastAsia"/>
          <w:color w:val="000000"/>
          <w:sz w:val="21"/>
          <w:szCs w:val="21"/>
        </w:rPr>
        <w:t xml:space="preserve"> view</w:t>
      </w:r>
      <w:r w:rsidR="000047AC">
        <w:rPr>
          <w:rFonts w:ascii="Times New Roman" w:hAnsi="Times New Roman" w:cs="Times New Roman" w:hint="eastAsia"/>
          <w:color w:val="000000"/>
          <w:sz w:val="21"/>
          <w:szCs w:val="21"/>
        </w:rPr>
        <w:t>s</w:t>
      </w:r>
      <w:r>
        <w:rPr>
          <w:rFonts w:ascii="Times New Roman" w:hAnsi="Times New Roman" w:cs="Times New Roman" w:hint="eastAsia"/>
          <w:color w:val="000000"/>
          <w:sz w:val="21"/>
          <w:szCs w:val="21"/>
        </w:rPr>
        <w:t xml:space="preserve"> from a distance, </w:t>
      </w:r>
      <w:r w:rsidR="000047AC">
        <w:rPr>
          <w:rFonts w:ascii="Times New Roman" w:hAnsi="Times New Roman" w:cs="Times New Roman" w:hint="eastAsia"/>
          <w:color w:val="000000"/>
          <w:sz w:val="21"/>
          <w:szCs w:val="21"/>
        </w:rPr>
        <w:t>but a VR HMD screen is magnified with a set of fisheye lenses and it is placed only inches from the viewer</w:t>
      </w:r>
      <w:r w:rsidR="000047AC">
        <w:rPr>
          <w:rFonts w:ascii="Times New Roman" w:hAnsi="Times New Roman" w:cs="Times New Roman"/>
          <w:color w:val="000000"/>
          <w:sz w:val="21"/>
          <w:szCs w:val="21"/>
        </w:rPr>
        <w:t>’</w:t>
      </w:r>
      <w:r w:rsidR="000047AC">
        <w:rPr>
          <w:rFonts w:ascii="Times New Roman" w:hAnsi="Times New Roman" w:cs="Times New Roman" w:hint="eastAsia"/>
          <w:color w:val="000000"/>
          <w:sz w:val="21"/>
          <w:szCs w:val="21"/>
        </w:rPr>
        <w:t>s eyes so the subpixel matrix is much more visible. This is where the Son</w:t>
      </w:r>
      <w:r w:rsidR="000047AC">
        <w:rPr>
          <w:rFonts w:ascii="Times New Roman" w:hAnsi="Times New Roman" w:cs="Times New Roman"/>
          <w:color w:val="000000"/>
          <w:sz w:val="21"/>
          <w:szCs w:val="21"/>
        </w:rPr>
        <w:t>y PS VR has an advantage as the black area that divides the subpixels is much smaller.</w:t>
      </w:r>
      <w:r w:rsidR="000047AC">
        <w:rPr>
          <w:rFonts w:ascii="Times New Roman" w:hAnsi="Times New Roman" w:cs="Times New Roman" w:hint="eastAsia"/>
          <w:color w:val="000000"/>
          <w:sz w:val="21"/>
          <w:szCs w:val="21"/>
        </w:rPr>
        <w:t xml:space="preserve"> Its 1080p screen</w:t>
      </w:r>
      <w:r w:rsidR="000047AC">
        <w:rPr>
          <w:rFonts w:ascii="Times New Roman" w:hAnsi="Times New Roman" w:cs="Times New Roman"/>
          <w:color w:val="000000"/>
          <w:sz w:val="21"/>
          <w:szCs w:val="21"/>
        </w:rPr>
        <w:t>’</w:t>
      </w:r>
      <w:r w:rsidR="000047AC">
        <w:rPr>
          <w:rFonts w:ascii="Times New Roman" w:hAnsi="Times New Roman" w:cs="Times New Roman" w:hint="eastAsia"/>
          <w:color w:val="000000"/>
          <w:sz w:val="21"/>
          <w:szCs w:val="21"/>
        </w:rPr>
        <w:t xml:space="preserve">s RGB stripe matrix is superior to the PenTile matrix. In a square of four pixels as shown in Figure 2, Sony PS VR screen has more subpixels with even number of each color (red, green and blue) where Samsung PenTile screen has fewer subpixels and more number of green </w:t>
      </w:r>
      <w:r w:rsidR="000047AC">
        <w:rPr>
          <w:rFonts w:ascii="Times New Roman" w:hAnsi="Times New Roman" w:cs="Times New Roman"/>
          <w:color w:val="000000"/>
          <w:sz w:val="21"/>
          <w:szCs w:val="21"/>
        </w:rPr>
        <w:t>colors</w:t>
      </w:r>
      <w:r w:rsidR="000047AC">
        <w:rPr>
          <w:rFonts w:ascii="Times New Roman" w:hAnsi="Times New Roman" w:cs="Times New Roman" w:hint="eastAsia"/>
          <w:color w:val="000000"/>
          <w:sz w:val="21"/>
          <w:szCs w:val="21"/>
        </w:rPr>
        <w:t xml:space="preserve">. This allows the quality of perceived resolution of PS VR screen when looking at it closely is </w:t>
      </w:r>
      <w:r w:rsidR="007E7F3F">
        <w:rPr>
          <w:rFonts w:ascii="Times New Roman" w:hAnsi="Times New Roman" w:cs="Times New Roman" w:hint="eastAsia"/>
          <w:color w:val="000000"/>
          <w:sz w:val="21"/>
          <w:szCs w:val="21"/>
        </w:rPr>
        <w:t xml:space="preserve">close to that of the Rift and Vive. The PenTile display used in the Rift and Vive looks grainier when looking at a close distance and produces more pronounced screen-door effect </w:t>
      </w:r>
      <w:r w:rsidR="007E7F3F">
        <w:rPr>
          <w:rFonts w:ascii="Times New Roman" w:hAnsi="Times New Roman" w:cs="Times New Roman"/>
          <w:color w:val="000000"/>
          <w:sz w:val="21"/>
          <w:szCs w:val="21"/>
        </w:rPr>
        <w:t>–</w:t>
      </w:r>
      <w:r w:rsidR="007E7F3F">
        <w:rPr>
          <w:rFonts w:ascii="Times New Roman" w:hAnsi="Times New Roman" w:cs="Times New Roman" w:hint="eastAsia"/>
          <w:color w:val="000000"/>
          <w:sz w:val="21"/>
          <w:szCs w:val="21"/>
        </w:rPr>
        <w:t xml:space="preserve"> the grid of the gap between pixels and gradients look worse. PenTile matrix in AMOLED, howeve</w:t>
      </w:r>
      <w:r w:rsidR="000C1FDA">
        <w:rPr>
          <w:rFonts w:ascii="Times New Roman" w:hAnsi="Times New Roman" w:cs="Times New Roman" w:hint="eastAsia"/>
          <w:color w:val="000000"/>
          <w:sz w:val="21"/>
          <w:szCs w:val="21"/>
        </w:rPr>
        <w:t>r, has a price advantage as it costs less to achieve the desired resolution and extends the life cycle of the panel.</w:t>
      </w:r>
    </w:p>
    <w:p w:rsidR="000C1FDA" w:rsidRDefault="000C1FDA" w:rsidP="000C1FDA">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p>
    <w:p w:rsidR="000C1FDA" w:rsidRDefault="000C1FDA" w:rsidP="000C1FDA">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r>
      <w:r>
        <w:rPr>
          <w:rFonts w:ascii="Times New Roman" w:hAnsi="Times New Roman" w:cs="Times New Roman" w:hint="eastAsia"/>
          <w:color w:val="000000"/>
          <w:sz w:val="21"/>
          <w:szCs w:val="21"/>
        </w:rPr>
        <w:t>&lt;Discussion Points&gt;</w:t>
      </w:r>
    </w:p>
    <w:p w:rsidR="000C1FDA" w:rsidRDefault="000C1FDA" w:rsidP="000C1FDA">
      <w:pPr>
        <w:pStyle w:val="a5"/>
        <w:numPr>
          <w:ilvl w:val="0"/>
          <w:numId w:val="1"/>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Does resolution have any relation to the motion sickness caused by the use of VR HMD?</w:t>
      </w:r>
    </w:p>
    <w:p w:rsidR="000C1FDA" w:rsidRDefault="000C1FDA" w:rsidP="000C1FDA">
      <w:pPr>
        <w:pStyle w:val="a5"/>
        <w:numPr>
          <w:ilvl w:val="1"/>
          <w:numId w:val="1"/>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Is resolution alone a factor causing the motion sickness? If so, why?</w:t>
      </w:r>
    </w:p>
    <w:p w:rsidR="000C1FDA" w:rsidRDefault="000C1FDA" w:rsidP="000C1FDA">
      <w:pPr>
        <w:pStyle w:val="a5"/>
        <w:numPr>
          <w:ilvl w:val="1"/>
          <w:numId w:val="1"/>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Is locomotion with higher resolution helps ease the motion sickness problem? If so, why?</w:t>
      </w:r>
    </w:p>
    <w:p w:rsidR="000C1FDA" w:rsidRDefault="000C1FDA" w:rsidP="000C1FDA">
      <w:pPr>
        <w:pStyle w:val="a5"/>
        <w:numPr>
          <w:ilvl w:val="0"/>
          <w:numId w:val="1"/>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What is the optimal refresh rate of the screen to minimize the motion sickness?</w:t>
      </w:r>
    </w:p>
    <w:p w:rsidR="000C1FDA" w:rsidRPr="000C1FDA" w:rsidRDefault="000C1FDA" w:rsidP="000C1FDA">
      <w:pPr>
        <w:pStyle w:val="a5"/>
        <w:numPr>
          <w:ilvl w:val="1"/>
          <w:numId w:val="1"/>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Is 90 Hz the defecto standards? If so, why?</w:t>
      </w:r>
    </w:p>
    <w:sectPr w:rsidR="000C1FDA" w:rsidRPr="000C1FD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16A" w:rsidRDefault="007C116A" w:rsidP="00A643CC">
      <w:pPr>
        <w:spacing w:before="0"/>
      </w:pPr>
      <w:r>
        <w:separator/>
      </w:r>
    </w:p>
  </w:endnote>
  <w:endnote w:type="continuationSeparator" w:id="0">
    <w:p w:rsidR="007C116A" w:rsidRDefault="007C116A" w:rsidP="00A643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Oswa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16A" w:rsidRDefault="007C116A" w:rsidP="00A643CC">
      <w:pPr>
        <w:spacing w:before="0"/>
      </w:pPr>
      <w:r>
        <w:separator/>
      </w:r>
    </w:p>
  </w:footnote>
  <w:footnote w:type="continuationSeparator" w:id="0">
    <w:p w:rsidR="007C116A" w:rsidRDefault="007C116A" w:rsidP="00A643C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B4C"/>
    <w:multiLevelType w:val="hybridMultilevel"/>
    <w:tmpl w:val="30885294"/>
    <w:lvl w:ilvl="0" w:tplc="FE8E489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55"/>
    <w:rsid w:val="000047AC"/>
    <w:rsid w:val="000C1FDA"/>
    <w:rsid w:val="00211DA0"/>
    <w:rsid w:val="003A6EA4"/>
    <w:rsid w:val="004C5C6A"/>
    <w:rsid w:val="006552E9"/>
    <w:rsid w:val="00670997"/>
    <w:rsid w:val="006D030F"/>
    <w:rsid w:val="007034C7"/>
    <w:rsid w:val="007C116A"/>
    <w:rsid w:val="007E7F3F"/>
    <w:rsid w:val="00A643CC"/>
    <w:rsid w:val="00AB6E35"/>
    <w:rsid w:val="00AF1055"/>
    <w:rsid w:val="00B54A5F"/>
    <w:rsid w:val="00C1458A"/>
    <w:rsid w:val="00E2008C"/>
    <w:rsid w:val="00F554DB"/>
    <w:rsid w:val="00FB7C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00CB9-C2ED-45B3-85E5-30E26D2D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055"/>
    <w:pPr>
      <w:tabs>
        <w:tab w:val="left" w:pos="284"/>
      </w:tabs>
      <w:spacing w:before="120" w:after="0" w:line="240" w:lineRule="auto"/>
      <w:jc w:val="left"/>
    </w:pPr>
    <w:rPr>
      <w:rFonts w:ascii="Myriad Pro" w:eastAsia="Calibri" w:hAnsi="Myriad Pro" w:cs="Times New Roman"/>
      <w:kern w:val="0"/>
      <w:sz w:val="24"/>
      <w:szCs w:val="24"/>
      <w:lang w:val="en-GB"/>
    </w:rPr>
  </w:style>
  <w:style w:type="paragraph" w:styleId="3">
    <w:name w:val="heading 3"/>
    <w:basedOn w:val="a"/>
    <w:next w:val="a"/>
    <w:link w:val="3Char"/>
    <w:uiPriority w:val="9"/>
    <w:semiHidden/>
    <w:unhideWhenUsed/>
    <w:qFormat/>
    <w:rsid w:val="00AF1055"/>
    <w:pPr>
      <w:keepNext/>
      <w:widowControl w:val="0"/>
      <w:tabs>
        <w:tab w:val="clear" w:pos="284"/>
      </w:tabs>
      <w:wordWrap w:val="0"/>
      <w:autoSpaceDE w:val="0"/>
      <w:autoSpaceDN w:val="0"/>
      <w:spacing w:before="0" w:after="200" w:line="276" w:lineRule="auto"/>
      <w:ind w:leftChars="300" w:left="300" w:hangingChars="200" w:hanging="2000"/>
      <w:jc w:val="both"/>
      <w:outlineLvl w:val="2"/>
    </w:pPr>
    <w:rPr>
      <w:rFonts w:asciiTheme="majorHAnsi" w:eastAsiaTheme="majorEastAsia" w:hAnsiTheme="majorHAnsi" w:cstheme="majorBidi"/>
      <w:kern w:val="2"/>
      <w:sz w:val="2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1055"/>
    <w:rPr>
      <w:color w:val="3366FF"/>
      <w:u w:val="single"/>
    </w:rPr>
  </w:style>
  <w:style w:type="paragraph" w:customStyle="1" w:styleId="covertext">
    <w:name w:val="cover text"/>
    <w:basedOn w:val="a"/>
    <w:rsid w:val="00AF1055"/>
    <w:pPr>
      <w:tabs>
        <w:tab w:val="clear" w:pos="284"/>
      </w:tabs>
      <w:spacing w:after="120"/>
    </w:pPr>
    <w:rPr>
      <w:rFonts w:ascii="Times New Roman" w:eastAsiaTheme="minorEastAsia" w:hAnsi="Times New Roman"/>
      <w:lang w:val="en-US" w:bidi="he-IL"/>
    </w:rPr>
  </w:style>
  <w:style w:type="character" w:styleId="a4">
    <w:name w:val="FollowedHyperlink"/>
    <w:basedOn w:val="a0"/>
    <w:uiPriority w:val="99"/>
    <w:semiHidden/>
    <w:unhideWhenUsed/>
    <w:rsid w:val="00AF1055"/>
    <w:rPr>
      <w:color w:val="800080" w:themeColor="followedHyperlink"/>
      <w:u w:val="single"/>
    </w:rPr>
  </w:style>
  <w:style w:type="character" w:customStyle="1" w:styleId="3Char">
    <w:name w:val="제목 3 Char"/>
    <w:basedOn w:val="a0"/>
    <w:link w:val="3"/>
    <w:uiPriority w:val="9"/>
    <w:semiHidden/>
    <w:rsid w:val="00AF1055"/>
    <w:rPr>
      <w:rFonts w:asciiTheme="majorHAnsi" w:eastAsiaTheme="majorEastAsia" w:hAnsiTheme="majorHAnsi" w:cstheme="majorBidi"/>
    </w:rPr>
  </w:style>
  <w:style w:type="paragraph" w:styleId="a5">
    <w:name w:val="Normal (Web)"/>
    <w:basedOn w:val="a"/>
    <w:uiPriority w:val="99"/>
    <w:unhideWhenUsed/>
    <w:rsid w:val="00AF1055"/>
    <w:pPr>
      <w:tabs>
        <w:tab w:val="clear" w:pos="284"/>
      </w:tabs>
      <w:spacing w:before="100" w:beforeAutospacing="1" w:after="100" w:afterAutospacing="1"/>
    </w:pPr>
    <w:rPr>
      <w:rFonts w:ascii="굴림" w:eastAsia="굴림" w:hAnsi="굴림" w:cs="굴림"/>
      <w:lang w:val="en-US"/>
    </w:rPr>
  </w:style>
  <w:style w:type="character" w:styleId="a6">
    <w:name w:val="Strong"/>
    <w:basedOn w:val="a0"/>
    <w:uiPriority w:val="22"/>
    <w:qFormat/>
    <w:rsid w:val="00AF1055"/>
    <w:rPr>
      <w:b/>
      <w:bCs/>
    </w:rPr>
  </w:style>
  <w:style w:type="character" w:styleId="a7">
    <w:name w:val="Emphasis"/>
    <w:basedOn w:val="a0"/>
    <w:uiPriority w:val="20"/>
    <w:qFormat/>
    <w:rsid w:val="00AF1055"/>
    <w:rPr>
      <w:i/>
      <w:iCs/>
    </w:rPr>
  </w:style>
  <w:style w:type="paragraph" w:styleId="a8">
    <w:name w:val="Balloon Text"/>
    <w:basedOn w:val="a"/>
    <w:link w:val="Char"/>
    <w:uiPriority w:val="99"/>
    <w:semiHidden/>
    <w:unhideWhenUsed/>
    <w:rsid w:val="00AF1055"/>
    <w:pPr>
      <w:spacing w:before="0"/>
    </w:pPr>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AF1055"/>
    <w:rPr>
      <w:rFonts w:asciiTheme="majorHAnsi" w:eastAsiaTheme="majorEastAsia" w:hAnsiTheme="majorHAnsi" w:cstheme="majorBidi"/>
      <w:kern w:val="0"/>
      <w:sz w:val="18"/>
      <w:szCs w:val="18"/>
      <w:lang w:val="en-GB"/>
    </w:rPr>
  </w:style>
  <w:style w:type="paragraph" w:styleId="a9">
    <w:name w:val="header"/>
    <w:basedOn w:val="a"/>
    <w:link w:val="Char0"/>
    <w:uiPriority w:val="99"/>
    <w:unhideWhenUsed/>
    <w:rsid w:val="00A643CC"/>
    <w:pPr>
      <w:tabs>
        <w:tab w:val="clear" w:pos="284"/>
        <w:tab w:val="center" w:pos="4513"/>
        <w:tab w:val="right" w:pos="9026"/>
      </w:tabs>
      <w:snapToGrid w:val="0"/>
    </w:pPr>
  </w:style>
  <w:style w:type="character" w:customStyle="1" w:styleId="Char0">
    <w:name w:val="머리글 Char"/>
    <w:basedOn w:val="a0"/>
    <w:link w:val="a9"/>
    <w:uiPriority w:val="99"/>
    <w:rsid w:val="00A643CC"/>
    <w:rPr>
      <w:rFonts w:ascii="Myriad Pro" w:eastAsia="Calibri" w:hAnsi="Myriad Pro" w:cs="Times New Roman"/>
      <w:kern w:val="0"/>
      <w:sz w:val="24"/>
      <w:szCs w:val="24"/>
      <w:lang w:val="en-GB"/>
    </w:rPr>
  </w:style>
  <w:style w:type="paragraph" w:styleId="aa">
    <w:name w:val="footer"/>
    <w:basedOn w:val="a"/>
    <w:link w:val="Char1"/>
    <w:uiPriority w:val="99"/>
    <w:unhideWhenUsed/>
    <w:rsid w:val="00A643CC"/>
    <w:pPr>
      <w:tabs>
        <w:tab w:val="clear" w:pos="284"/>
        <w:tab w:val="center" w:pos="4513"/>
        <w:tab w:val="right" w:pos="9026"/>
      </w:tabs>
      <w:snapToGrid w:val="0"/>
    </w:pPr>
  </w:style>
  <w:style w:type="character" w:customStyle="1" w:styleId="Char1">
    <w:name w:val="바닥글 Char"/>
    <w:basedOn w:val="a0"/>
    <w:link w:val="aa"/>
    <w:uiPriority w:val="99"/>
    <w:rsid w:val="00A643CC"/>
    <w:rPr>
      <w:rFonts w:ascii="Myriad Pro" w:eastAsia="Calibri" w:hAnsi="Myriad Pro"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lon@volercreative.com"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es.ieee.org/sagroups-3333-3/" TargetMode="Externa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5" Type="http://schemas.openxmlformats.org/officeDocument/2006/relationships/hyperlink" Target="http://media.bestofmicro.com/W/J/570115/original/RGB-vs-PenTile_4.jpg" TargetMode="External"/><Relationship Id="rId10" Type="http://schemas.openxmlformats.org/officeDocument/2006/relationships/hyperlink" Target="mailto:ceo@joyfun.kr" TargetMode="External"/><Relationship Id="rId4" Type="http://schemas.openxmlformats.org/officeDocument/2006/relationships/webSettings" Target="webSettings.xml"/><Relationship Id="rId9" Type="http://schemas.openxmlformats.org/officeDocument/2006/relationships/hyperlink" Target="mailto:sjkang@sogang.ac.kr"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975</Words>
  <Characters>5559</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Sangkwon Jeong</cp:lastModifiedBy>
  <cp:revision>7</cp:revision>
  <dcterms:created xsi:type="dcterms:W3CDTF">2017-07-20T23:47:00Z</dcterms:created>
  <dcterms:modified xsi:type="dcterms:W3CDTF">2017-07-21T07:51:00Z</dcterms:modified>
</cp:coreProperties>
</file>